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27.</w:t>
      </w:r>
      <w:r>
        <w:rPr>
          <w:rFonts w:ascii="Times New Roman" w:hAnsi="Times New Roman" w:cs="Times New Roman"/>
          <w:b/>
          <w:sz w:val="28"/>
          <w:szCs w:val="28"/>
        </w:rPr>
        <w:t xml:space="preserve">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В самарском Росреестре прошел брифинг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по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 итогам работы за прошедший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 год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Брифинг по итог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ам деятельности за прошедший год прошел в самарском Росреестре.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В рамках мероприятия были обозначены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ближайшие планы и стратегические задачи, которые стоят перед командой Большого Росреестр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а.</w:t>
      </w:r>
      <w:r>
        <w:rPr>
          <w:rFonts w:ascii="Tinos" w:hAnsi="Tinos" w:eastAsia="Tinos" w:cs="Tinos"/>
          <w:sz w:val="28"/>
          <w:szCs w:val="28"/>
          <w:highlight w:val="none"/>
          <w:lang w:val="ru-RU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  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 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 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Главной идеей выступления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руководителя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val="ru-RU"/>
        </w:rPr>
        <w:t xml:space="preserve">Вадима Владиславовича Маликова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 стало - исполнение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перечня поручений Президента РФ по повышению капитализации территории №Пр- 2120.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</w:r>
    </w:p>
    <w:p>
      <w:pPr>
        <w:ind w:left="0" w:right="0" w:firstLine="425"/>
        <w:jc w:val="both"/>
        <w:spacing w:before="0" w:after="0" w:line="360" w:lineRule="auto"/>
        <w:rPr>
          <w:rFonts w:ascii="Tinos" w:hAnsi="Tinos" w:eastAsia="Tinos" w:cs="Tinos"/>
          <w:b/>
          <w:bCs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«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Сфера земли и недвижимости звучит 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важнейшим двигателем экономики и повышении инвестиционн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ой привлекательности 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регионов,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– отметил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val="ru-RU"/>
        </w:rPr>
        <w:t xml:space="preserve"> Вадим Владиславович, 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-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 Задача Управления совместно с региональной командой организо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вать работу и исполнить поручения Президента Российской Федерации по капитализации территории.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»</w:t>
      </w:r>
      <w:r>
        <w:rPr>
          <w:rFonts w:ascii="Tinos" w:hAnsi="Tinos" w:eastAsia="Tinos" w:cs="Tinos"/>
          <w:bCs/>
          <w:i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Одним из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ключевых 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инструментов капитализации регионов является, в том числе,</w:t>
      </w: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 совершенствование государственной кадастровой оценки.</w:t>
      </w:r>
      <w:r>
        <w:rPr>
          <w:rFonts w:ascii="Tinos" w:hAnsi="Tinos" w:eastAsia="Tinos" w:cs="Tinos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bCs w:val="0"/>
          <w:i w:val="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Согласно статистическим данным,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общее количество объектов недвижимости на территории Самарской области, сведения о которых содержатся в ЕГРН, превышает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 млн.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единиц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. Суммарная кадастровая стоимость всех объектов недвижимости, поставленных на кадастровый учет на территории Самарс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кой области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-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1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1,7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 трлн.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руб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bCs w:val="0"/>
          <w:i w:val="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В регионе в 2026 году проводится государственная кадастровая оц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енка земельных участков, в 2027 году – оценка объектов капитального строительства.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Н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еобходимые мероприятия начаты.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bCs w:val="0"/>
          <w:i w:val="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Эффективным способом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наполнения ЕГ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РН полными и точными сведениями являются комплексные кадастровые работы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На территории области в 2025 г. в ходе ККР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федерального значения в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ЕГРН были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внесены сведения в отношении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704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кадастровых кварталов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</w:r>
      <w:r/>
    </w:p>
    <w:p>
      <w:pPr>
        <w:pStyle w:val="852"/>
        <w:ind w:firstLine="706"/>
        <w:jc w:val="both"/>
        <w:spacing w:line="360" w:lineRule="auto"/>
        <w:rPr>
          <w:rFonts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sz w:val="28"/>
          <w:szCs w:val="28"/>
          <w:highlight w:val="none"/>
          <w:lang w:val="ru-RU"/>
        </w:rPr>
        <w:t xml:space="preserve">Продолжает набирать обороты</w:t>
      </w:r>
      <w:r>
        <w:rPr>
          <w:rFonts w:cs="Times New Roman"/>
          <w:sz w:val="28"/>
          <w:szCs w:val="28"/>
          <w:highlight w:val="none"/>
          <w:lang w:val="ru-RU"/>
        </w:rPr>
        <w:t xml:space="preserve"> цифровизация отрасли. </w:t>
      </w:r>
      <w:r>
        <w:rPr>
          <w:rFonts w:cs="Times New Roman"/>
          <w:sz w:val="28"/>
          <w:szCs w:val="28"/>
          <w:highlight w:val="none"/>
          <w:lang w:val="ru-RU"/>
        </w:rPr>
        <w:t xml:space="preserve">Доля </w:t>
      </w:r>
      <w:r>
        <w:rPr>
          <w:rFonts w:cs="Times New Roman"/>
          <w:sz w:val="28"/>
          <w:szCs w:val="28"/>
          <w:highlight w:val="none"/>
          <w:lang w:val="ru-RU"/>
        </w:rPr>
        <w:t xml:space="preserve">заявлений на учетно-регистрационные действия</w:t>
      </w:r>
      <w:r>
        <w:rPr>
          <w:rFonts w:cs="Times New Roman"/>
          <w:sz w:val="28"/>
          <w:szCs w:val="28"/>
          <w:highlight w:val="none"/>
          <w:lang w:val="ru-RU"/>
        </w:rPr>
        <w:t xml:space="preserve"> в электронном виде по Самарской области в </w:t>
      </w:r>
      <w:r>
        <w:rPr>
          <w:rFonts w:cs="Times New Roman"/>
          <w:sz w:val="28"/>
          <w:szCs w:val="28"/>
          <w:highlight w:val="none"/>
          <w:lang w:val="ru-RU"/>
        </w:rPr>
        <w:t xml:space="preserve">2025 г.</w:t>
      </w:r>
      <w:r>
        <w:rPr>
          <w:rFonts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  <w:highlight w:val="none"/>
          <w:lang w:val="ru-RU"/>
        </w:rPr>
        <w:t xml:space="preserve">составила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61,5%</w:t>
      </w:r>
      <w:r>
        <w:rPr>
          <w:rFonts w:cs="Times New Roman"/>
          <w:sz w:val="28"/>
          <w:szCs w:val="28"/>
          <w:highlight w:val="none"/>
          <w:lang w:val="ru-RU"/>
        </w:rPr>
        <w:t xml:space="preserve">, что выше аналогичного показателя 2024 г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.  </w:t>
      </w:r>
      <w:r>
        <w:rPr>
          <w:rFonts w:cs="Times New Roman"/>
          <w:sz w:val="28"/>
          <w:szCs w:val="28"/>
          <w:highlight w:val="none"/>
          <w:lang w:val="ru-RU"/>
        </w:rPr>
        <w:t xml:space="preserve">Из </w:t>
      </w:r>
      <w:r>
        <w:rPr>
          <w:rFonts w:cs="Times New Roman"/>
          <w:sz w:val="28"/>
          <w:szCs w:val="28"/>
          <w:highlight w:val="none"/>
          <w:lang w:val="ru-RU"/>
        </w:rPr>
        <w:t xml:space="preserve">700 тыс.</w:t>
      </w:r>
      <w:r>
        <w:rPr>
          <w:rFonts w:cs="Times New Roman"/>
          <w:sz w:val="28"/>
          <w:szCs w:val="28"/>
          <w:highlight w:val="none"/>
          <w:lang w:val="ru-RU"/>
        </w:rPr>
        <w:t xml:space="preserve"> заявлений, более </w:t>
      </w:r>
      <w:r>
        <w:rPr>
          <w:rFonts w:cs="Times New Roman"/>
          <w:sz w:val="28"/>
          <w:szCs w:val="28"/>
          <w:highlight w:val="none"/>
          <w:lang w:val="ru-RU"/>
        </w:rPr>
        <w:t xml:space="preserve">400 тыс.</w:t>
      </w:r>
      <w:r>
        <w:rPr>
          <w:rFonts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  <w:highlight w:val="none"/>
          <w:lang w:val="ru-RU"/>
        </w:rPr>
        <w:t xml:space="preserve">представлено в электронном виде</w:t>
      </w:r>
      <w:r>
        <w:rPr>
          <w:rFonts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cs="Times New Roman"/>
          <w:sz w:val="28"/>
          <w:szCs w:val="28"/>
          <w:highlight w:val="none"/>
          <w:lang w:val="ru-RU"/>
        </w:rPr>
        <w:t xml:space="preserve"> Увеличилась доля поступивших на регистрацию ипотеки в электронном виде, она составила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89,9%</w:t>
      </w:r>
      <w:r>
        <w:rPr>
          <w:rFonts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cs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bCs w:val="0"/>
          <w:i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За после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дние годы Росреестром реализован ряд масштабных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мероприятий, оказавших значительное влияние на развитие рынка недвижимости.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Сокращен инвестиционно-строительный цикл, внедрены удобные цифровые инструменты и сервисы с акцентом на клиенто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центричность.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За пять лет принято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98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федеральных законов, направленных на упрощение оформления недвижимости, вовлечение земель в оборот и снижение административных барьеров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.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Ср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ед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и ключевых инициатив - внедрение электронных торгов по предоставлению земельных участков, полная цифровизация взаимодействия с застройщиками и кредитными организациями, а также реализация принципа «Построил – оформи» и механизма «Застройщик за дольщика. </w:t>
      </w:r>
      <w:r/>
      <w:r/>
    </w:p>
    <w:p>
      <w:pPr>
        <w:pStyle w:val="852"/>
        <w:ind w:firstLine="706"/>
        <w:jc w:val="both"/>
        <w:spacing w:line="360" w:lineRule="auto"/>
        <w:rPr>
          <w:rFonts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sz w:val="28"/>
          <w:szCs w:val="28"/>
          <w:highlight w:val="none"/>
          <w:lang w:val="ru-RU"/>
        </w:rPr>
      </w:r>
      <w:r>
        <w:rPr>
          <w:rFonts w:cs="Times New Roman"/>
          <w:sz w:val="28"/>
          <w:szCs w:val="28"/>
          <w:highlight w:val="none"/>
          <w:lang w:val="ru-RU"/>
        </w:rPr>
        <w:t xml:space="preserve">Особое внимание на брифинге было уделено флагманскому проекту ведомства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«Национальная система пространственных данных» (НСПД</w:t>
      </w:r>
      <w:r>
        <w:rPr>
          <w:rFonts w:cs="Times New Roman"/>
          <w:sz w:val="28"/>
          <w:szCs w:val="28"/>
          <w:highlight w:val="none"/>
          <w:lang w:val="ru-RU"/>
        </w:rPr>
        <w:t xml:space="preserve">), который объединил более 4000</w:t>
      </w:r>
      <w:r>
        <w:rPr>
          <w:rFonts w:cs="Times New Roman"/>
          <w:sz w:val="28"/>
          <w:szCs w:val="28"/>
          <w:highlight w:val="none"/>
          <w:lang w:val="ru-RU"/>
        </w:rPr>
        <w:t xml:space="preserve"> слоев пространственных данных из 112 </w:t>
      </w:r>
      <w:r>
        <w:rPr>
          <w:rFonts w:cs="Times New Roman"/>
          <w:sz w:val="28"/>
          <w:szCs w:val="28"/>
          <w:highlight w:val="none"/>
          <w:lang w:val="ru-RU"/>
        </w:rPr>
        <w:t xml:space="preserve">федеральных и региональных систем. </w:t>
      </w:r>
      <w:r>
        <w:rPr>
          <w:rFonts w:cs="Times New Roman"/>
          <w:sz w:val="28"/>
          <w:szCs w:val="28"/>
          <w:highlight w:val="none"/>
          <w:lang w:val="ru-RU"/>
        </w:rPr>
        <w:t xml:space="preserve">На базе НСПД работают 20 цифровых сервисов, позволяющие сократить сроки подбора и предоставления земельных участков, получения инф</w:t>
      </w:r>
      <w:r>
        <w:rPr>
          <w:rFonts w:cs="Times New Roman"/>
          <w:sz w:val="28"/>
          <w:szCs w:val="28"/>
          <w:highlight w:val="none"/>
          <w:lang w:val="ru-RU"/>
        </w:rPr>
        <w:t xml:space="preserve">ормации о конкретной территории</w:t>
      </w:r>
      <w:r>
        <w:rPr>
          <w:rFonts w:cs="Times New Roman"/>
          <w:b w:val="0"/>
          <w:bCs w:val="0"/>
          <w:sz w:val="28"/>
          <w:szCs w:val="28"/>
          <w:highlight w:val="none"/>
          <w:lang w:val="ru-RU"/>
        </w:rPr>
        <w:t xml:space="preserve">. </w:t>
      </w:r>
      <w:r>
        <w:rPr>
          <w:rFonts w:cs="Times New Roman"/>
          <w:sz w:val="28"/>
          <w:szCs w:val="28"/>
          <w:highlight w:val="none"/>
          <w:lang w:val="ru-RU"/>
        </w:rPr>
        <w:t xml:space="preserve">Информационное</w:t>
      </w:r>
      <w:r>
        <w:rPr>
          <w:rFonts w:cs="Times New Roman"/>
          <w:sz w:val="28"/>
          <w:szCs w:val="28"/>
          <w:highlight w:val="none"/>
          <w:lang w:val="ru-RU"/>
        </w:rPr>
        <w:t xml:space="preserve"> взаимодействие НСПД с региональными системами</w:t>
      </w:r>
      <w:r>
        <w:rPr>
          <w:rFonts w:cs="Times New Roman"/>
          <w:sz w:val="28"/>
          <w:szCs w:val="28"/>
          <w:highlight w:val="none"/>
          <w:lang w:val="ru-RU"/>
        </w:rPr>
        <w:t xml:space="preserve"> в Самаре обеспечено </w:t>
      </w:r>
      <w:r>
        <w:rPr>
          <w:rFonts w:cs="Times New Roman"/>
          <w:sz w:val="28"/>
          <w:szCs w:val="28"/>
          <w:highlight w:val="none"/>
          <w:lang w:val="ru-RU"/>
        </w:rPr>
        <w:t xml:space="preserve">на 100%. </w:t>
      </w:r>
      <w:r>
        <w:rPr>
          <w:rFonts w:cs="Times New Roman"/>
          <w:sz w:val="28"/>
          <w:szCs w:val="28"/>
          <w:highlight w:val="none"/>
          <w14:ligatures w14:val="none"/>
        </w:rPr>
      </w:r>
      <w:r>
        <w:rPr>
          <w:rFonts w:cs="Times New Roman"/>
          <w:sz w:val="28"/>
          <w:szCs w:val="28"/>
          <w:highlight w:val="none"/>
          <w14:ligatures w14:val="none"/>
        </w:rPr>
      </w:r>
    </w:p>
    <w:p>
      <w:pPr>
        <w:pStyle w:val="852"/>
        <w:ind w:firstLine="706"/>
        <w:jc w:val="both"/>
        <w:spacing w:line="360" w:lineRule="auto"/>
        <w:rPr>
          <w:rFonts w:cs="Times New Roman"/>
          <w:sz w:val="32"/>
          <w:szCs w:val="32"/>
          <w:highlight w:val="white"/>
          <w14:ligatures w14:val="none"/>
        </w:rPr>
      </w:pPr>
      <w:r>
        <w:rPr>
          <w:rFonts w:cs="Times New Roman"/>
          <w:sz w:val="28"/>
          <w:szCs w:val="28"/>
          <w:highlight w:val="none"/>
          <w:lang w:val="ru-RU"/>
        </w:rPr>
        <w:t xml:space="preserve">Благодаря проекту </w:t>
      </w:r>
      <w:r>
        <w:rPr>
          <w:rFonts w:cs="Times New Roman"/>
          <w:sz w:val="28"/>
          <w:szCs w:val="28"/>
          <w:highlight w:val="none"/>
          <w:lang w:val="ru-RU"/>
        </w:rPr>
        <w:t xml:space="preserve">«Земля для стройки»</w:t>
      </w:r>
      <w:r>
        <w:rPr>
          <w:rFonts w:cs="Times New Roman"/>
          <w:sz w:val="28"/>
          <w:szCs w:val="28"/>
          <w:highlight w:val="none"/>
          <w:lang w:val="ru-RU"/>
        </w:rPr>
        <w:t xml:space="preserve"> выявляются и </w:t>
      </w:r>
      <w:r>
        <w:rPr>
          <w:rFonts w:cs="Times New Roman"/>
          <w:sz w:val="28"/>
          <w:szCs w:val="28"/>
          <w:highlight w:val="none"/>
          <w:lang w:val="ru-RU"/>
        </w:rPr>
        <w:t xml:space="preserve">вовлек</w:t>
      </w:r>
      <w:r>
        <w:rPr>
          <w:rFonts w:cs="Times New Roman"/>
          <w:sz w:val="28"/>
          <w:szCs w:val="28"/>
          <w:highlight w:val="none"/>
          <w:lang w:val="ru-RU"/>
        </w:rPr>
        <w:t xml:space="preserve">аются в оборот земельные участки и территории в целях жилищного строительства</w:t>
      </w:r>
      <w:r>
        <w:rPr>
          <w:rFonts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cs="Times New Roman"/>
          <w:sz w:val="28"/>
          <w:szCs w:val="28"/>
          <w:highlight w:val="none"/>
          <w:lang w:val="ru-RU"/>
        </w:rPr>
        <w:t xml:space="preserve">По итогам 2025 г. в</w:t>
      </w:r>
      <w:r>
        <w:rPr>
          <w:rFonts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  <w:highlight w:val="none"/>
          <w:lang w:val="ru-RU"/>
        </w:rPr>
        <w:t xml:space="preserve">Самарской области </w:t>
      </w:r>
      <w:r>
        <w:rPr>
          <w:rFonts w:cs="Times New Roman"/>
          <w:sz w:val="28"/>
          <w:szCs w:val="28"/>
          <w:highlight w:val="none"/>
          <w:lang w:val="ru-RU"/>
        </w:rPr>
        <w:t xml:space="preserve">выявлено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более 1000</w:t>
      </w:r>
      <w:r>
        <w:rPr>
          <w:rFonts w:cs="Times New Roman"/>
          <w:sz w:val="28"/>
          <w:szCs w:val="28"/>
          <w:highlight w:val="none"/>
          <w:lang w:val="ru-RU"/>
        </w:rPr>
        <w:t xml:space="preserve"> земельных участков и территорий</w:t>
      </w:r>
      <w:r>
        <w:rPr>
          <w:rFonts w:cs="Times New Roman"/>
          <w:sz w:val="28"/>
          <w:szCs w:val="28"/>
          <w:highlight w:val="none"/>
          <w:lang w:val="ru-RU"/>
        </w:rPr>
        <w:t xml:space="preserve">, общей площадью более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4 тыс. га</w:t>
      </w:r>
      <w:r>
        <w:rPr>
          <w:rFonts w:cs="Times New Roman"/>
          <w:i/>
          <w:iCs/>
          <w:sz w:val="28"/>
          <w:szCs w:val="28"/>
          <w:highlight w:val="none"/>
          <w:lang w:val="ru-RU"/>
        </w:rPr>
        <w:t xml:space="preserve">,</w:t>
      </w:r>
      <w:r>
        <w:rPr>
          <w:rFonts w:cs="Times New Roman"/>
          <w:sz w:val="28"/>
          <w:szCs w:val="28"/>
          <w:highlight w:val="none"/>
          <w:lang w:val="ru-RU"/>
        </w:rPr>
        <w:t xml:space="preserve"> имеющих потенциал </w:t>
      </w:r>
      <w:r>
        <w:rPr>
          <w:rFonts w:cs="Times New Roman"/>
          <w:sz w:val="28"/>
          <w:szCs w:val="28"/>
          <w:highlight w:val="none"/>
          <w:lang w:val="ru-RU"/>
        </w:rPr>
        <w:t xml:space="preserve">дл</w:t>
      </w:r>
      <w:r>
        <w:rPr>
          <w:rFonts w:cs="Times New Roman"/>
          <w:sz w:val="28"/>
          <w:szCs w:val="28"/>
          <w:highlight w:val="white"/>
          <w:lang w:val="ru-RU"/>
        </w:rPr>
        <w:t xml:space="preserve">я</w:t>
      </w:r>
      <w:r>
        <w:rPr>
          <w:rFonts w:cs="Times New Roman"/>
          <w:sz w:val="28"/>
          <w:szCs w:val="28"/>
          <w:highlight w:val="white"/>
          <w:lang w:val="ru-RU"/>
        </w:rPr>
        <w:t xml:space="preserve"> жилищного строительства. </w:t>
      </w:r>
      <w:r>
        <w:rPr>
          <w:rFonts w:cs="Times New Roman"/>
          <w:sz w:val="32"/>
          <w:szCs w:val="32"/>
          <w:highlight w:val="white"/>
          <w14:ligatures w14:val="none"/>
        </w:rPr>
      </w:r>
      <w:r>
        <w:rPr>
          <w:rFonts w:cs="Times New Roman"/>
          <w:sz w:val="32"/>
          <w:szCs w:val="32"/>
          <w:highlight w:val="white"/>
          <w14:ligatures w14:val="none"/>
        </w:rPr>
      </w:r>
    </w:p>
    <w:p>
      <w:pPr>
        <w:pStyle w:val="852"/>
        <w:ind w:firstLine="706"/>
        <w:jc w:val="both"/>
        <w:spacing w:line="360" w:lineRule="auto"/>
        <w:rPr>
          <w:rFonts w:cs="Times New Roman"/>
          <w:sz w:val="32"/>
          <w:szCs w:val="32"/>
          <w:highlight w:val="none"/>
          <w14:ligatures w14:val="none"/>
        </w:rPr>
      </w:pPr>
      <w:r>
        <w:rPr>
          <w:rFonts w:cs="Times New Roman"/>
          <w:sz w:val="28"/>
          <w:szCs w:val="28"/>
          <w:highlight w:val="none"/>
          <w:lang w:val="ru-RU"/>
        </w:rPr>
        <w:t xml:space="preserve">Продолжает реализовываться</w:t>
      </w:r>
      <w:r>
        <w:rPr>
          <w:rFonts w:cs="Times New Roman"/>
          <w:sz w:val="28"/>
          <w:szCs w:val="28"/>
          <w:highlight w:val="none"/>
          <w:lang w:val="ru-RU"/>
        </w:rPr>
        <w:t xml:space="preserve"> проект «Земля для туризма»</w:t>
      </w:r>
      <w:r>
        <w:rPr>
          <w:rFonts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cs="Times New Roman"/>
          <w:sz w:val="28"/>
          <w:szCs w:val="28"/>
          <w:highlight w:val="none"/>
          <w:lang w:val="ru-RU"/>
        </w:rPr>
        <w:t xml:space="preserve">За период его работы</w:t>
      </w:r>
      <w:r>
        <w:rPr>
          <w:rFonts w:cs="Times New Roman"/>
          <w:sz w:val="28"/>
          <w:szCs w:val="28"/>
          <w:highlight w:val="none"/>
          <w:lang w:val="ru-RU"/>
        </w:rPr>
        <w:t xml:space="preserve"> в регионе </w:t>
      </w:r>
      <w:r>
        <w:rPr>
          <w:rFonts w:cs="Times New Roman"/>
          <w:sz w:val="28"/>
          <w:szCs w:val="28"/>
          <w:highlight w:val="none"/>
          <w:lang w:val="ru-RU"/>
        </w:rPr>
        <w:t xml:space="preserve">сформирован земельный фонд</w:t>
      </w:r>
      <w:r>
        <w:rPr>
          <w:rFonts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  <w:highlight w:val="none"/>
          <w:lang w:val="ru-RU"/>
        </w:rPr>
        <w:t xml:space="preserve">в количестве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59</w:t>
      </w:r>
      <w:r>
        <w:rPr>
          <w:rFonts w:cs="Times New Roman"/>
          <w:sz w:val="28"/>
          <w:szCs w:val="28"/>
          <w:highlight w:val="none"/>
          <w:lang w:val="ru-RU"/>
        </w:rPr>
        <w:t xml:space="preserve"> земельных участков</w:t>
      </w:r>
      <w:r>
        <w:rPr>
          <w:rFonts w:cs="Times New Roman"/>
          <w:sz w:val="28"/>
          <w:szCs w:val="28"/>
          <w:highlight w:val="none"/>
          <w:lang w:val="ru-RU"/>
        </w:rPr>
        <w:t xml:space="preserve">/территорий</w:t>
      </w:r>
      <w:r>
        <w:rPr>
          <w:rFonts w:cs="Times New Roman"/>
          <w:sz w:val="28"/>
          <w:szCs w:val="28"/>
          <w:highlight w:val="none"/>
          <w:lang w:val="ru-RU"/>
        </w:rPr>
        <w:t xml:space="preserve"> площадью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473 га</w:t>
      </w:r>
      <w:r>
        <w:rPr>
          <w:rFonts w:cs="Times New Roman"/>
          <w:sz w:val="28"/>
          <w:szCs w:val="28"/>
          <w:highlight w:val="none"/>
          <w:lang w:val="ru-RU"/>
        </w:rPr>
        <w:t xml:space="preserve">, расположенных </w:t>
      </w:r>
      <w:r>
        <w:rPr>
          <w:rFonts w:cs="Times New Roman"/>
          <w:sz w:val="28"/>
          <w:szCs w:val="28"/>
          <w:highlight w:val="none"/>
          <w:lang w:val="ru-RU"/>
        </w:rPr>
        <w:t xml:space="preserve">вблизи </w:t>
      </w:r>
      <w:r>
        <w:rPr>
          <w:rFonts w:cs="Times New Roman"/>
          <w:b/>
          <w:bCs/>
          <w:sz w:val="28"/>
          <w:szCs w:val="28"/>
          <w:highlight w:val="none"/>
          <w:lang w:val="ru-RU"/>
        </w:rPr>
        <w:t xml:space="preserve">19</w:t>
      </w:r>
      <w:r>
        <w:rPr>
          <w:rFonts w:cs="Times New Roman"/>
          <w:sz w:val="28"/>
          <w:szCs w:val="28"/>
          <w:highlight w:val="none"/>
          <w:lang w:val="ru-RU"/>
        </w:rPr>
        <w:t xml:space="preserve"> объект</w:t>
      </w:r>
      <w:r>
        <w:rPr>
          <w:rFonts w:cs="Times New Roman"/>
          <w:sz w:val="28"/>
          <w:szCs w:val="28"/>
          <w:highlight w:val="none"/>
          <w:lang w:val="ru-RU"/>
        </w:rPr>
        <w:t xml:space="preserve">ов туристического интереса. </w:t>
      </w:r>
      <w:r>
        <w:rPr>
          <w:rFonts w:cs="Times New Roman"/>
          <w:sz w:val="28"/>
          <w:szCs w:val="28"/>
          <w:highlight w:val="none"/>
          <w:lang w:val="ru-RU"/>
        </w:rPr>
        <w:t xml:space="preserve">В туристических целях</w:t>
      </w:r>
      <w:r>
        <w:rPr>
          <w:rFonts w:cs="Times New Roman"/>
          <w:sz w:val="28"/>
          <w:szCs w:val="28"/>
          <w:highlight w:val="none"/>
          <w:lang w:val="ru-RU"/>
        </w:rPr>
        <w:t xml:space="preserve"> было </w:t>
      </w:r>
      <w:r>
        <w:rPr>
          <w:rFonts w:cs="Times New Roman"/>
          <w:sz w:val="28"/>
          <w:szCs w:val="28"/>
          <w:highlight w:val="none"/>
          <w:lang w:val="ru-RU"/>
        </w:rPr>
        <w:t xml:space="preserve">вовлечено</w:t>
      </w:r>
      <w:r>
        <w:rPr>
          <w:rFonts w:cs="Times New Roman"/>
          <w:sz w:val="28"/>
          <w:szCs w:val="28"/>
          <w:highlight w:val="none"/>
          <w:lang w:val="ru-RU"/>
        </w:rPr>
        <w:t xml:space="preserve"> в оборот </w:t>
      </w:r>
      <w:r>
        <w:rPr>
          <w:rFonts w:cs="Times New Roman"/>
          <w:sz w:val="28"/>
          <w:szCs w:val="28"/>
          <w:highlight w:val="none"/>
          <w:lang w:val="ru-RU"/>
        </w:rPr>
        <w:t xml:space="preserve">4</w:t>
      </w:r>
      <w:r>
        <w:rPr>
          <w:rFonts w:cs="Times New Roman"/>
          <w:sz w:val="28"/>
          <w:szCs w:val="28"/>
          <w:highlight w:val="none"/>
          <w:lang w:val="ru-RU"/>
        </w:rPr>
        <w:t xml:space="preserve"> земельных участка общей площадью </w:t>
      </w:r>
      <w:r>
        <w:rPr>
          <w:rFonts w:cs="Times New Roman"/>
          <w:sz w:val="28"/>
          <w:szCs w:val="28"/>
          <w:highlight w:val="none"/>
          <w:lang w:val="ru-RU"/>
        </w:rPr>
        <w:t xml:space="preserve">14,7 гектаров</w:t>
      </w:r>
      <w:r>
        <w:rPr>
          <w:rFonts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32"/>
          <w:szCs w:val="32"/>
          <w:highlight w:val="none"/>
          <w14:ligatures w14:val="none"/>
        </w:rPr>
      </w:r>
      <w:r>
        <w:rPr>
          <w:rFonts w:cs="Times New Roman"/>
          <w:sz w:val="32"/>
          <w:szCs w:val="32"/>
          <w:highlight w:val="none"/>
          <w14:ligatures w14:val="none"/>
        </w:rPr>
      </w:r>
    </w:p>
    <w:p>
      <w:pPr>
        <w:pStyle w:val="852"/>
        <w:ind w:firstLine="706"/>
        <w:jc w:val="both"/>
        <w:spacing w:line="360" w:lineRule="auto"/>
        <w:rPr>
          <w:rFonts w:cs="Times New Roman"/>
          <w:sz w:val="28"/>
          <w:szCs w:val="28"/>
          <w:highlight w:val="none"/>
          <w14:ligatures w14:val="none"/>
        </w:rPr>
      </w:pPr>
      <w:r>
        <w:rPr>
          <w:rFonts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cs="Times New Roman"/>
          <w:sz w:val="28"/>
          <w:szCs w:val="28"/>
          <w:highlight w:val="none"/>
          <w:lang w:val="ru-RU"/>
        </w:rPr>
        <w:t xml:space="preserve">Самарский Росреестр активно взаимодействует </w:t>
      </w:r>
      <w:r>
        <w:rPr>
          <w:rFonts w:cs="Times New Roman"/>
          <w:sz w:val="28"/>
          <w:szCs w:val="28"/>
          <w:highlight w:val="none"/>
          <w:lang w:val="ru-RU"/>
        </w:rPr>
        <w:t xml:space="preserve">с профессиональными сообществами: кадас</w:t>
      </w:r>
      <w:r>
        <w:rPr>
          <w:rFonts w:cs="Times New Roman"/>
          <w:sz w:val="28"/>
          <w:szCs w:val="28"/>
          <w:highlight w:val="none"/>
          <w:lang w:val="ru-RU"/>
        </w:rPr>
        <w:t xml:space="preserve">тровыми инженерами, нотариусами, застройщиками, кредитными организациями, юридическими лицами, риелторами. На брифинге была отмечена</w:t>
      </w:r>
      <w:r>
        <w:rPr>
          <w:rFonts w:cs="Times New Roman"/>
          <w:sz w:val="28"/>
          <w:szCs w:val="28"/>
          <w:highlight w:val="none"/>
          <w:lang w:val="ru-RU"/>
        </w:rPr>
        <w:t xml:space="preserve"> положительная практика участия ведомства в</w:t>
      </w:r>
      <w:r>
        <w:rPr>
          <w:rFonts w:cs="Times New Roman"/>
          <w:sz w:val="28"/>
          <w:szCs w:val="28"/>
          <w:highlight w:val="none"/>
          <w:lang w:val="ru-RU"/>
        </w:rPr>
        <w:t xml:space="preserve"> выездных просветительских семинарах по региону</w:t>
      </w:r>
      <w:r>
        <w:rPr>
          <w:rFonts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cs="Times New Roman"/>
          <w:sz w:val="28"/>
          <w:szCs w:val="28"/>
          <w:highlight w:val="none"/>
          <w:lang w:val="ru-RU"/>
        </w:rPr>
        <w:t xml:space="preserve">Такой формат живого общения</w:t>
      </w:r>
      <w:r>
        <w:rPr>
          <w:rFonts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  <w:highlight w:val="none"/>
          <w:lang w:val="ru-RU"/>
        </w:rPr>
        <w:t xml:space="preserve">позволил </w:t>
      </w:r>
      <w:r>
        <w:rPr>
          <w:rFonts w:cs="Times New Roman"/>
          <w:sz w:val="28"/>
          <w:szCs w:val="28"/>
          <w:highlight w:val="none"/>
          <w:lang w:val="ru-RU"/>
        </w:rPr>
        <w:t xml:space="preserve">предпринимательскому сообществу региона </w:t>
      </w:r>
      <w:r>
        <w:rPr>
          <w:rFonts w:cs="Times New Roman"/>
          <w:sz w:val="28"/>
          <w:szCs w:val="28"/>
          <w:highlight w:val="none"/>
          <w:lang w:val="ru-RU"/>
        </w:rPr>
        <w:t xml:space="preserve">быть в курсе актуальных тенденций</w:t>
      </w:r>
      <w:r>
        <w:rPr>
          <w:rFonts w:cs="Times New Roman"/>
          <w:sz w:val="28"/>
          <w:szCs w:val="28"/>
          <w:highlight w:val="none"/>
          <w:lang w:val="ru-RU"/>
        </w:rPr>
        <w:t xml:space="preserve">,</w:t>
      </w:r>
      <w:r>
        <w:rPr>
          <w:rFonts w:cs="Times New Roman"/>
          <w:sz w:val="28"/>
          <w:szCs w:val="28"/>
          <w:highlight w:val="none"/>
          <w:lang w:val="ru-RU"/>
        </w:rPr>
        <w:t xml:space="preserve"> изучить инструменты для эффективного взаимодейств</w:t>
      </w:r>
      <w:r>
        <w:rPr>
          <w:rFonts w:cs="Times New Roman"/>
          <w:sz w:val="28"/>
          <w:szCs w:val="28"/>
          <w:highlight w:val="none"/>
          <w:lang w:val="ru-RU"/>
        </w:rPr>
        <w:t xml:space="preserve">ия с Росреестром.</w:t>
      </w:r>
      <w:r>
        <w:rPr>
          <w:rFonts w:cs="Times New Roman"/>
          <w:sz w:val="28"/>
          <w:szCs w:val="28"/>
          <w:highlight w:val="none"/>
          <w14:ligatures w14:val="none"/>
        </w:rPr>
      </w:r>
      <w:r>
        <w:rPr>
          <w:rFonts w:cs="Times New Roman"/>
          <w:sz w:val="28"/>
          <w:szCs w:val="28"/>
          <w:highlight w:val="none"/>
          <w14:ligatures w14:val="none"/>
        </w:rPr>
      </w:r>
    </w:p>
    <w:p>
      <w:pPr>
        <w:pStyle w:val="852"/>
        <w:ind w:firstLine="706"/>
        <w:jc w:val="both"/>
        <w:spacing w:line="360" w:lineRule="auto"/>
        <w:rPr>
          <w:rFonts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Отрадно, что работа ведомства находит отклик у граждан: 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согласно проведенному опросу, индекс удовлетворенности качеством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предоставления государственных услуг Росреестра нашим Управлением составляет 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  <w:lang w:val="ru-RU"/>
        </w:rPr>
        <w:t xml:space="preserve">99,88%</w:t>
      </w:r>
      <w:r>
        <w:rPr>
          <w:rFonts w:ascii="Tinos" w:hAnsi="Tinos" w:eastAsia="Tinos" w:cs="Tinos"/>
          <w:i/>
          <w:iCs/>
          <w:sz w:val="28"/>
          <w:szCs w:val="28"/>
          <w:highlight w:val="none"/>
          <w:lang w:val="ru-RU"/>
        </w:rPr>
        <w:t xml:space="preserve">» –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подытожил руководитель Управления Росреестра по Самарской области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Вадим Владиславович Маликов.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852"/>
        <w:ind w:firstLine="706"/>
        <w:jc w:val="both"/>
        <w:spacing w:line="276" w:lineRule="auto"/>
        <w:rPr>
          <w:rFonts w:cs="Times New Roman"/>
          <w:sz w:val="28"/>
          <w:szCs w:val="28"/>
          <w:highlight w:val="none"/>
          <w14:ligatures w14:val="none"/>
        </w:rPr>
      </w:pPr>
      <w:r>
        <w:rPr>
          <w:rFonts w:cs="Times New Roman"/>
          <w:sz w:val="28"/>
          <w:szCs w:val="28"/>
          <w:highlight w:val="none"/>
          <w:lang w:val="ru-RU"/>
        </w:rPr>
      </w:r>
      <w:r>
        <w:rPr>
          <w:rFonts w:cs="Times New Roman"/>
          <w:sz w:val="28"/>
          <w:szCs w:val="28"/>
          <w:highlight w:val="none"/>
          <w14:ligatures w14:val="none"/>
        </w:rPr>
      </w:r>
      <w:r>
        <w:rPr>
          <w:rFonts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fa-I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44</cp:revision>
  <dcterms:created xsi:type="dcterms:W3CDTF">2023-09-10T13:11:00Z</dcterms:created>
  <dcterms:modified xsi:type="dcterms:W3CDTF">2026-03-27T11:06:58Z</dcterms:modified>
</cp:coreProperties>
</file>